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08.04.2021, оставленным без изменения постановлением Девятого арбитражного апелляционного суда от 18.08.2021 и постановлением Арбитражного суда Московского округа от 30.11.2021, в удовлетворении заявления отказано. В кассационной жалобе Кондратьев В.Л. просит об отмене судебных актов, ссылаясь на распространение исполнительского иммунитета на превышающую задолженность выручку от реализации залогового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силу пункта 3 статьи 213.25 Федерального закона от 26.10.2002 № 127-ФЗ «О несостоятельности (банкротстве)», статьи 446 Гражданского процессуального кодекса Российской Федерации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Вопросы об исключении из конкурсной массы указанного имущества решаются финансовым управляющим самостоятельно во внесудебном порядке. В судебном порядке подлежат разрешению разногласия, возникшие у должника в финансовым управляющим по вопросу об исключении имущества из конкурсной массы. В указанной ситуации в удовлетворении заявления должника правомерно отказано.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Кондратьеву Вадиму Львовичу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