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28.07.2021, оставленным без изменения постановлением Десятого арбитражного апелляционного суда от 21.09.2021 и постановлением Арбитражного суда Московского округа от 20.01.2022, в удовлетворении заявления отказано. В кассационной жалобе общество просит об отмене судебных актов, ссылаясь на рассмотрение окружным судом дела с нарушением правила о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от 28.07.2021 принято по жалобе общества, поданной в Арбитражный суд Московской области и рассмотренной этим судом до передачи дела в Арбитражный суд Алтайского края. Окружной суд в соответствии со своей компетенцией проверил указанное определение, принятое в соответствии с установленной подсудностью, на соответствие закону на день принятия этого судебного акта. Доводов по существу принятых в отношении жалобы на действия финансового управляющего судебных актов кассационная жалобы не содержит, приведенный же довод о подсудности основания для пересмотра судебных актов не создает.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«Партнерство» в передаче кассационной жалобы для рассмотрения в судебном заседании Судебной коллегии по экономическим спорам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