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указанной кассационной жалобой, одновременно заявив ходатайство о восстановлении срока ее подачи. Рассмотрев ходатайство, оценив изложенные в нем доводы, судья находит его подлежащим удовлетворению. Руководствуясь статьями 117, 184, 291.2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Блюденовой Жанны Сергеевны удовлетворить. Срок подачи кассационной жалобы на определение Арбитражного суда Московской области от 03.03.2021 по делу № А41-86896/2019, постановление Десятого арбитражного апелляционного суда от 18.06.2021 и постановление Арбитражного суда Московского округа от 18.10.2021 по тому же делу восстановить.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