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его конкурсного управляющего Фролов Андрей Юрьевич обратился в суд с заявлением о признании недействительными сделками платежей в пользу общества на сумму 16 591 537 рублей, оформленных платёжными поручениями от 14.12.2018 № 22, № 23, № 24, № 25, № 26, № 27, № 28, № 29, № 30, № 31, № 32, № 33, № 34, № 35 от 14.12.18, и применении последствий недействительности сделок в виде взыскания с общества в пользу должника 16 591 537 рублей. Определением Арбитражного суда Воронежской области от 17.06.2021, оставленным без изменения постановлениями Девятнадцатого арбитражного апелляционного суда от 20.09.2021 и Арбитражного суда Центрального округа от 01.12.2021,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Воронежской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61.3 и 61.6 Федерального закона от 26.10.2002 № 127-ФЗ «О несостоятельности (банкротстве)», установив осведомлённость общества о наличии у должника признаков несостоятельности на момент совершения сделок, а также совершение сделок в преддверии банкротства должника вне рамок обычной хозяйственной деятельности, пришли к выводу об обоснованности заявления, указав на следствие сделок – предпочтительное удовлетворение требований общества перед другими кредиторами должника, правомерно применив последствия недействительности сделок.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«Сократ»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