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Стреколовская В.А. обратилась в суд с заявлением об увеличении размера фиксированной части вознаграждения арбитражного управляющего до 77 699 рублей 25 копеек за период с 01.01.2020 по 31.12.2020 и далее, начиная с 01.01.2021 до 81 785 рублей 10 копеек. Определением Арбитражного суда Пермского края от 05.05.2021, оставленным без изменения постановлениями Семнадцатого арбитражного апелляционного суда от 12.08.2021 и Арбитражного суда Уральского округа от 03.12.2021,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Пермского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20.6 Федеральный закон от 26.10.2002 № 127-ФЗ «О несостоятельности (банкротстве)», исходили из отсутствия причин для удовлетворения требований Стреколовской В.А. по заявленным основаниям.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Стреколовской Веронике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