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01.06.2021, оставленным без изменения постановлениями Одиннадцатого арбитражного апелляционного 2 суда от 17.08.2021 и Арбитражного суда Поволжского округа от 30.11.2021, в удовлетворении заявленных требований отказано. В кассационной жалобе предприниматель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обнаружением рекламной конструкции в виде стелы, владелец которой не был установлен, учреждением вынесено предписание, на основании которого осуществлен ее принудительный демонтаж. Не согласившись с действиями учреждения, ссылаясь на то, что предписание о принудительном демонтаже рекламной конструкции является незаконным, нарушает его права и законные интересы, предприниматель обратился в арбитражный суд. Исследовав обстоятельства дела и оценив имеющиеся доказательства, руководствуясь положениями Федерального закона от 13.03.2006 № 38-ФЗ «О рекламе» (далее - Закон о рекламе), Порядком осуществления демонтажа рекламных конструкций, установленных и (или) эксплуатируемых на территории Самарской области с нарушением требований Закона о рекламе, утвержденным постановлением Правительства Самарской области от 16.02.2015 № 70 (далее - Порядок демонтажа), суды пришли к выводу об отсутствии оснований для удовлетворения заявленных требований. Судебные инстанции исходили из того, что демонтаж спорной рекламной конструкции произведен учреждением в соответствии с процедурой демонтажа незаконных рекламных конструкций, установленной статьей 19 Закона о рекламе и Порядком демонтажа. Суды указали, что предприниматель, не разместив информацию о собственнике (владельце) рекламной конструкции непосредственно на рекламной конструкции, лишил учреждение информации о себе как о собственнике (владельце) спорной рекламной конструкции, создал для уполномоченных лиц препятствие для осуществления процедуры демонтажа. 3 При исследовании обстоятельств дела установлено, что рекламная конструкция размещена в отсутствии разрешения на установку и эксплуатацию рекламной конструкции, выданного уполномоченным органом, и правовых оснований для пользования земельным участком. Доводы, изложенные в кассационной жалобе,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выводов судов, не свидетельствуют о нарушении норм материального и (или) процессуального права при рассмотрении настоящего дела.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Дуцеву Владимиру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