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27.04.2021, оставленным без изменения постановлениями Девятого арбитражного апелляционного суда от 12.08.2021 и Арбитражного суда Московского округа от 29.11.2021, исковые требования удовлетворены. В кассационной жалобе, поданной в Верховный Суд Российской Федерации, общество ставит вопрос об отмене принятых по делу судебных 2 актов, ссылаясь на существенное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(принципал) и банком (гарант) заключен договор о предоставлении банковской гарантии, во исполнение которого выдана банковская гарантия. По требованию учреждения (бенефициар) банком произведена выплата по гарантии в размере 5 773 919 рублей 98 копеек. Ссылаясь на неисполнение принципалом обязательства по возмещению в порядке регресса денежных средств, уплаченных бенефициару по банковской гарантии, гарант обратился в арбитражный суд. Оценив представленные в материалы дела доказательства, суды, руководствуясь положениями статей 309, 310, 330, 368, 379, 401 Гражданского кодекса Российской Федерации, пришли к выводу о наличии оснований для удовлетворения иска. Судебные инстанции исходили из обоснованности предъявления банком требования о взыскании с общества в порядке регресса суммы, уплаченной бенефициару по банковской гарантии. При исследовании обстоятельств дела установлено, что полученное гарантом требование бенефициара о выплате денежных средств по банковской гарантии соответствовало условиям банковской гарантии; у банка отсутствовали правовые основания для отказа в удовлетворении требования бенефициара о выплате сумм по банковской гарантии; принципалом не представлено доказательств того, что гарантом выплата по банковской гарантии осуществлена с нарушением норм действующего законодательства. Доводы кассационной жалобы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3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«МТЗ-Сервис»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