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27.05.2021 по первоначальному иску взыскано 1 360 000 рублей убытков, встречный иск удовлетворен в заявленном размере; в результате зачета взысканных сумм с компании в пользу общества взыскано 919 567 рублей 50 копеек и расходы на экспертизу. Седьмой арбитражный апелляционный суд постановлением от 30.08.2021 (в редакции определения от 03.12.2021 об исправлении опечатки) изменил решение от 27.05.2021 и удовлетворил первоначальный и встречный иск в полном объеме; в результате зачета взысканных сумм с компании в пользу общества взыскано 1 821 567 рублей 50 копеек и расходы на экспертизу. Арбитражный суд Западно-Сибирского округа постановлением от 16.12.2021 отменил решение от 27.05.2021 и постановление Седьмого арбитражного апелляционного суда от 30.08.2021 в части взыскания 902 000 рублей штрафа по первоначальному иску, распределения судебных расходов и проведения судебного зачета, направив дело в отмененной части на новое рассмотрение в Арбитражный суд Алтайского края; в остальной части судебные акты оставил без изменения. В кассационной жалобе общество просит об отмене судебных актов в отношении направленного на новое рассмотрение требования и требования по встречному иску, ссылаясь на несоответствие их договору и обстоятельствам его исполнения.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установив неисследование судами нижестоящих инстанций обстоятельств, требуемых для взыскания договорной неустойки по первоначальному иску, признал необходимость нового рассмотрения дела в этой части в пределах полномочий, предоставленных статьями 286 - 288 Арбитражного процессуального кодекса Российской Федерации. Основание для применения к обществу договорной ответственности по встречному иску установлены судами. Иное толкование обществом договора и оценка обстоятельств его исполнения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«Втормет»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"Втормет" (подробнее) Ответчики: ООО "Виртэк транспортная компания"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