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15.07.2021, оставленным без изменения постановлением Девятого арбитражного апелляционного суда от 23.09.2021 и постановлением Арбитражного суда Московского округа от 14.12.2021, заявление удовлетворено. В кассационной жалобе ФИО1 просит об отмене судебных актов, ссылаясь на нарушение преюдиции и несоответствие выводов о наличии условий для недействительности сделки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отклонили возражения заинтересованного лица о преюдиции и не признали ее наличия, учитывая особенность рассмотрения дел о банкротстве и необходимость установления в них обстоятельств, в частности, в отношении недействительности сделок, отличных от общегражданских. Суды установили, что по недействительной сделке о выплате доли в виде передачи должнику здания, являющегося предметом оспариваемой сделки, должник обязан уплатить стоимость здания. В рассматриваемом споре здание возвращено в конкурсную массу в качестве последствия сделки, признанной несоответствующей пункту 2 статьи 61.2 Федерального закона от 26.10.2002 № 127ФЗ «О несостоятельности (банкротстве)». Добросовестность приобретения здания ФИО1 опровергнута его письмом должнику от 16.01.2017 по вопросу об основании приобретения здания, которое впоследствии устранено судом как недействительное.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МО ЦАСР УВМ МВД России по г. Москве (подробнее) ЗАО ТРАНСИНКОМ (подробнее) ИФНС России по г. Красногорску Московской обл. (подробнее) Иные лица: НП "Ведущих АУ "Достояние" (подробнее) ООО "Металлист"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