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21.04.2021 заявленное требование удовлетворено. 2 Постановлением Восьмого арбитражного апелляционного суда от 27.08.2021, решение суда отменено, в удовлетворении заявленных требований отказано. Арбитражный суд Западно-Сибирского округа постановлением от 30.11.2021 оставил без изменения указанные постановление суда апелляционной инстанции. Предприниматель обратился в Верховный Суд Российской Федерации с кассационной жалобой, в которой просит отменить судебные акты судов апелляционной и кассационной инстанций, ссылаясь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согласно оспариваемому решению инспекции (с учетом решения управления) налогоплательщик привлечен к ответственности за совершение налогового правонарушения, ему доначислены суммы налога на добавленную стоимость, налога на доходы физических лиц, пени, а также штраф. 3 Отказывая в удовлетворении требований, суд апелляционной инстанции, повторно оценив представленные по делу доказательства, руководствуясь положениями статей 346.11, 346.13, 346.14, 346.15, 346.17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признал обоснованными выводы налогового органа о том, что сделка предпринимателя по приобретению недвижимого имущества у взаимозависимых лиц по цене, которая существенно ниже рыночной (кадастровой) стоимости спорного объекта, имела своей целью получение предпринимателем необоснованной налоговой выгоды; согласованные действия заявителя и взаимозависимых лиц направлены исключительно на минимизацию налоговых обязательств в целях создания формальных условий для применения льготного режима налогообложения; в связи с превышением заявителем во 2 квартале 2016 года предельных сумм дохода предпринимателем утрачено право на применение упрощенной системы налогообложения. С указанными выводами согласился суд округа. Доводы, изложенные в кассационной жалобе предпринимателя, являлись предметом рассмотрения судов и получили исчерпывающую правовую оценку. Приведенные в жалобе доводы выводы судов не опровергают, направлены на переоценку исследованных судами доказательств и установление иных фактических обстоятельств по делу, что в силу статьи 2916 Арбитражного процессуального кодекса Российской Федерации в полномочия кассационной инстанции Верховного Суда Российской Федерации не входит. Существенных нарушений норм материального права и (или) норм процессуального права, повлиявших на исход дела, судами не допущено.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