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08.06.2021, оставленным без изменения постановлением Семнадцатого апелляционного суда от 26.08.2021, иск удовлетворен. Постановлением Арбитражного суда Уральского округа от 26.01.2022 указанные судебные акты оставлены без изменения. Министерство просит обжалуемые судебные акты отменить, считая их принятыми с нарушением норм материального и процессуального права, направить дело на новое рассмотрение в суд первой инстанции.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статей 309 , 310 , 711 , 720 , 753 Гражданского кодекса Российской Федерации, суды удовлетворили иск, признав, что выполненные обществом работы не оплачены, а также исходя из отсутствия доказательств несоответствия объемов работ, отраженных в предъявленных обществом актах, объемам фактически выполненных работ, а также некачественного выполнения предъявленных к оплате работ. Доводы жалобы были предметом исследования судов и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ООО "Прогресс" (подробнее) Ответчики: Министерство природных ресурсов и охраны окружающей среды Удмуртской Республики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