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22.04.2021, оставленным без изменения постановлением Второго арбитражного апелляционного суда от 20.08.2021, в удовлетворении требований отказано. Постановлением Арбитражного суда Волго-Вятского округа от 29.11.2021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судами существенные нарушения норм материального и процессуального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не установлено. Частью 2 статьи 8.7 Кодекса Российской Федерации об административных правонарушениях предусмотрена ответственность за невыполнение установленных требований 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земель. Оценив представленные доказательства, руководствуясь положениями статей 12 , 13 , 42 , 78 , 79 Земельного кодекса Российской Федерации, Федерального закона от 16.07.1998 № 101-ФЗ «О государственном регулировании обеспечения плодородия земель сельскохозяйственного назначения», Федерального закона от 10.01.2002 № 7-ФЗ «О защите окружающей среды», суды пришли к выводу о наличии в действиях общества состава правонарушения, ответственность за совершение которого предусмотрена частью 2 статьи 8.7 Кодекса Российской Федерации об административных правонарушениях. Процедура и срок давности привлечения к ответственности соблюдены. Оснований для применения положений статьи 2.9 Кодекса Российской Федерации об административных правонарушениях не установлено. Административный штраф назначен в пределах санкции статьи. Доводы общества были предметом исследования судов и мотивированно отклонены. Приведенные в жалобе доводы предполагают необходимость переоценки имеющихся доказательств и установления иных фактических обстоятельств дела, что не относится к полномочиям Судебной коллегии Верховного Суда Российской Федерации, рассматривающей дело по правилам кассационного производства.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"СПЕЦСТРОЙМЕХАНИЗАЦИЯ ПЛЮС" (подробнее) Ответчики: Управление Федеральной службы по ветеринарному и фитосанитарному надзору по Республике Коми (подробнее) Иные лица: ВААС (подробнее) Северное межрегиональное управление Федеральной службы по ветеринарному и фитосанитарному надзору (правопреемник Управления Ростехнадзора по Республике Коми) (подробнее) Судьи дела: Першутов А.Г. (судья) (подробнее) Последние документы по делу: Определение от 14 апреля 2022 г. по делу № А29-15524/2020 Определение от 25 марта 2022 г. по делу № А29-15524/2020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