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20.07.2021, оставленным без изменения постановлением Седьмого арбитражного апелляционного суда от 13.09.2021, в удовлетворении заявленного требования отказано. Постановлением Арбитражного суда Западно-Сибирского округа от 17.12.2021 указанные судебные акты оставлены без изменения. ФИО1 просит отменить принятые по делу судебные акты, считая их незаконными и необоснованными. По смыслу положений части 1 статьи 2911, части 7 статьи 2916, статьи 29111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обстоятельств по доводам жалобы не установлено. Поскольку в настоящее время срок давности привлечения общества к административной ответственности за вмененное правонарушение истек, а после истечения указанного срока привлечение к административной ответственности является недопустимым, изложенные в жалобе доводы не могут служить достаточным основанием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производства, поэтому передача кассационной жалобы в любом случае не приведет к восстановлению нарушенных прав и законных интересов ФИО1 Вопрос наличия (отсутствия) оснований для возмещения вреда в любом случае не может быть рассмотрен в рамках рассматриваемого спора.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Управление Федеральной службы по надзору в сфере связи, информационных технологий и массовых коммуникаций по Сибирскому федеральному округу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