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06.04.2021, оставленным без изменения постановлением Восемнадцатого арбитражного апелляционного суда от 21.07.2021, иск удовлетворен. Постановлением Арбитражного суда Уральского округа от 01.12.2021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702 , 721 , 722 , 723 , 724 , 755 , 763 Гражданского кодекса Российской Федерации, суды удовлетворили иск, признав доказанным факт наличия недостатков в выполненных работах, выявленных в течение гарантийного срока, что является основанием для возложения на подрядчика обязанности по устранению таких недостатков. Довод жалобы о нарушении судом первой инстанции норм процессуального права в связи с переходом из предварительного судебного заседания к основному судебному заседанию не свидетельствует о нарушении судом части 4 статьи 137 Арбитражного процессуального кодекса Российской Федерации, с учетом разъяснений, содержащихся в пункте 27 постановления Пленума Высшего Арбитражного суда Российской Федерации от 20.12.2006 № 65, поскольку заявитель не указывает на то, что он возражал относительно рассмотрения дела в его отсутствие. Иные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АДМИНИСТРАЦИЯ КАЛИНИНСКОГО РАЙОНА ГОРОДА ЧЕЛЯБИНСКА (подробнее) Ответчики: ООО ПРОИЗВОДСТВЕННО-СТРОИТЕЛЬНАЯ КОМПАНИЯ "ИНТЕРСТРОЙ" (подробнее) Иные лица: Управление Федеральной службы судебных приставов по Челябинской области (подробнее) Судьи дела: Першутов А.Г.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