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Смоленской области от 26.05.2021 заявление удовлетворено. Постановлением Двадцатого арбитражного апелляционного суда от 03.08.2021 решение суда первой инстанции отменено, в удовлетворении заявления отказано. Постановлением Арбитражного суда Центрального округа от 23.12.2021 постановление суда апелляционной инстанции оставлено без изменения. Общество просит постановления судов апелляционной и кассационной инстанций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Частью 1 статьи 9.4 Кодекса Российской Федерации об административных правонарушениях установлена ответственность за нарушение требований технических регламентов, проектной документации,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проектировании, строительстве, реконструкции или капитальном ремонте объектов капитального строительства, в том числе при применении строительных материалов (изделий). Повторно оценив представленные доказательства, руководствуясь положениями статей 49 , 52 , 54 Градостроительного кодекса Российской Федерации, суд апелляционной инстанции отменил решение суда первой инстанции, признав наличие в действиях общества состава административного правонарушения, ответственность за совершение которого предусмотрена частью 1 статьи 9.4 Кодекса Российской Федерации об административных правонарушениях, исходя из того, что на момент проведения проверки общество осуществляло строительство с нарушением требований проектной документации, и, не установив нарушений порядка привлечения к административной ответственности. Вина общества состоит в том, что им не были приняты все необходимые и достаточные меры для надлежащего исполнения обязательных требований при строительстве объекта капитального строительства. Судами проверены процедура и срок давности привлечения к административной ответственности, наказание в виде штрафа назначено в пределах санкции нормы. Доводы жалобы были предметом исследования судов апелляционной и кассационной инстанций и получили исчерпывающую правовую оценку с учетом конкретных установленных обстоятельств, свидетельствующих, что на момент проведения проверки и составления акта о ее результатах общество не предоставило надлежащим образом оформленное разрешение на новый объект капитального строительства (7-этажный жилой дом), а также проектную документацию, получившую положительное заключение экспертизы, не согласиться с которыми по доводам жалобы оснований не имеется. Доводов о том, что общество заблуждалось относительно вмененного правонарушения, чем конкретно нарушены права общества, какие доказательства и возражения оно было лишено возможности представить с учетом представления его интересов представителем по общей доверенности и при сформулированном в протоколе событии правонарушения, в жалобе не приведено.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"Стройинвестпроект" (подробнее) Ответчики: Департамент государственного строительного и технического надзора Смоленской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