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24.05.2021 первоначальные исковые требования удовлетворены частично, встречный иск удовлетворен в полном объеме; в результате произведенного судом зачета с общества в пользу отеля взыскано 213 282 рубля 84 копейки задолженности. Постановлением Одиннадцатого арбитражного апелляционного суда от 05.08.2021, оставленным без изменения постановлением Арбитражного суда Поволжского округа от 24.11.2021, решение отменено: первоначальный иск удовлетворен, в удовлетворении встречного иска отказано. В кассационной жалобе отель просит отменить судебные акты апелляционного и окружного судов, ссылаясь на отсутствие обязанности оплачивать услуги, оказанные ненадлежащим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подписание сторонами актов приема-сдачи услуг в качестве порождающего в силу статей 779 , 781 Гражданского кодекса Российской Федерации обязанность по оплате основания. Довод жалобы об оказании услуг лицом, не имеющим правоотношений с обществом, правомерно признан не относящимся к спору при установленном исполнении сторонами договора.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«Отель «Граф Орлов»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"ЧОО "Эскадрон-С" (подробнее) Ответчики: ООО Отель "Граф Орлов" (подробнее) Иные лица: Арбитражный суд Поволжского округа (подробнее) Одиннадцатый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