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30.06.2021 исковые требования удовлетворены. Постановлением Девятого арбитражного апелляционного суда от 25.08.2021 решение суда первой инстанции изменено, с общества в пользу компании взыскано 9 393 397 руб. 13 коп. неосновательного обогащения, 104 679 руб. 88 коп. процентов за пользование чужими денежными средствами, в удовлетворении остальной части исковых требований отказано. Постановлением Арбитражного суда Московского округа от 01.12.2021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мотивированы тем, что по результатам проведенных сторонами переговоров о заключении договора общество выставило компании счета на оплату; компания перечислила обществу денежные средства в общей сумме 12 912 690 руб. 90 коп., однако последнее к работам не приступило, требование о возврате перечисленных денежных средств не исполнило. Суд первой инстанции, удовлетворяя исковые требования, исходил из отсутствия у общества правовых оснований для удержания спорной суммы. Изменяя решение суда первой инстанции и удовлетворяя исковые требования частично,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установив, что договор поставки оборудования, на который ссылалось общество, сторонами не подписан, при этом общество поставило компании товар на сумму 3 519 652 руб. 87 коп., принятый представителем последней по доверенности, что следует из универсального передаточного документа, в котором основанием передачи товара отражен выставленный обществом счет на оплату, указанный в назначении платежа оформленных компанией платежных поручениях; исходя из отсутствия надлежащих доказательств встречного предоставления со стороны общества на оставшуюся сумму, руководствуясь статьями 185 , 395 , 1102 Гражданского кодекса Российской Федерации, пришел к выводу о наличии на стороне общества неосновательного обогащения в размере 9 393 397 руб. 13 коп., подлежащего возврату с начислением процентов за пользование чужими денежными средствами.С указанными выводами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«Русклимат-Дистрибуция»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"Опора" (подробнее) Ответчики: ООО "РУСКЛИМАТ-ДИСТРИБУЦИЯ"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доверенности Судебная практика по применению норм ст. 185, 188, 189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