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24.05.2021, оставленным без изменения постановлениями Девятого арбитражного апелляционного суда от 16.09.2021 и Арбитражного суда Московского округа от 29.11.2021,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общества на действия учреждения (заказчик) и комитета (уполномоченный орган) при определении поставщика (подрядчика, исполнителя) путем проведения электронного аукциона на поставку стентов коронарных для нужд учреждений здравоохранения Московской области в 2020 году, выразившиеся в направлении проекта контракта заявителю, не соответствующего предложению о цене контракта общества, антимонопольным органом принято решение, которым жалоба признана необоснованной. Не согласившись с решением управления, общество обратилось в арбитражный суд с заявлением о признании его незаконным.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системе), приказом Министерства финансов России от 04.06.2018 № 126н «Об условиях допуска товаров, происходящих из иностранного государства или группы иностранных государств, для целей осуществления закупок товаров для обеспечения государственных и муниципальных нужд» (далее - Приказ № 126н), суды пришли к выводу о законности оспариваемого ненормативного правового акта антимонопольного органа. Судебные инстанции исходили из того, что действия заказчика не противоречат положениям законодательства о контрактной системе и требованиям Приказа № 126н. При исследовании обстоятельств дела установлено, что заявка общества (победитель аукциона) содержала предложение о поставке товаров, страной происхождения которых являются Соединенные Штаты Америки, Ирландия, а заявка спорного участника закупки содержала предложение о поставке товара, страной происхождения которого является Российская Федерация; отсутствуют доказательства несоответствия заявки спорного участника закупки требованиям аукционной документации и положениям Закона о контрактной системе. 3 Учитывая установленные обстоятельства, суды пришли к выводу о том, что в отношении общества, в заявке которого предлагаются товары иностранного происхождения, применяются положения пункта 1.3 Приказа № 126н. Ссылка общества на иную судебную практику является несостоятельной, поскольку основана на иных фактических обстоятельствах дела, отличных от настоящего спора. Приведенные в жалобе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повлиявших на исход дела, выражают несогласие с выводами судов по фактическим обстоятельствам спора,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«В-Д-М»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