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26.07.2021, оставленным без изменения постановлением Пятнадцатого арбитражного апелляционного суда от 03.10.2021 и постановлением Арбитражного суда Северо-Кавказского округа от 17.12.2021, в удовлетворении заявления отказано. В кассационной жалобе администрация просит об отмене судебных актов, ссылаясь на основанном на нормах Градостроительного кодекса Российской Федерации ее приоритете в реализации части земельного участка, занятого самовольной постройкой.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руководствуясь статьи 213.25 Федерального закона от 26.10.2002 № 127-ФЗ «О несостоятельности (банкротстве)» и сложившейся судебной практикой, не установили в настоящем деле предусмотренного законом основания для исключения спорного земельного участка, находящегося в собственности должника, из его конкурсной массы, а также нарушения публичных интересов, поскольку реализация участка на торгах в рамках дела о банкротстве не препятствует исполнению судебного решения по сносу расположенной в его границах самовольной постройки новым собственником. Ссылка на приоритет прав, основанных на градостроительных нормах, не учитывает, что с момента принятия в 2013 году решения суда о сносе самовольной постройки до возбуждения в 2019 году дела о банкротстве должника администрация не реализовала своих прав на изъятие земельного участка под самовольной постройкой.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муниципального образования «Город-курорт Геленджик»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