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Ульяновской области от 16.08.2021, оставленным без изменения постановлением Одиннадцатого арбитражного апелляционного суда от 21.10.2021 и постановлением Арбитражного суда Поволжского округа от 23.12.2021, в удовлетворении заявления отказано. В кассационной жалобе Бердникова Г.Г. просит об отмене судебных актов, ссылаясь на неосновательное вменение ей недобросовестности.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установили, что спорная квартира включена в конкурсную массу по итогу разрешения в судебном порядке разногласий должника с финансовым управляющим. На дату рассмотрения заявления об исключении из конкурсной массы квартира реализована с торгов в соответствии с ранее утвержденным судом Положением о продаже. Учитывая указанные обстоятельства и руководствуясь статьей 446 Гражданского процессуального кодекса Российской Федерации, статьей 10 Гражданского кодекса Российской Федерации, статьей 213.25 Федерального закона от 26.10.2002 № 127-ФЗ «О несостоятельности (банкротстве)», суды не установили основания для удовлетворения заявления должника.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гражданке Бердниковой Г.Г.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