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25.05.2021, оставленным без изменения постановлением Девятого арбитражного апелляционного суда от 06.08.2021 и постановлением Арбитражного суда Московского округа от 07.12.2021, признано обоснованным заявление ФИО2 о признании ФИО1 банкротом, введена процедура реструктуризации долгов, требования ФИО2 включены в третью очередь реестра должника, утвержден финансовый управляющий. В кассационной жалобе ФИО1 просит об отмене судебных актов, ссылаясь на нарушение к форме заявления и отсутствие признаков банкротства в связи с наличием у кредитора встречной задолженности, подлежащей зачету.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об обоснованности заявления о банкротстве должника и подлежащей включению в реестр задолженности основаны на неисполненном судебном акте суда общей юрисдикции, статьях 213.3, 213.6, 213.25 Федерального закона от 26.10.2002 № 127-ФЗ «О несостоятельности (банкротстве)». Изложенные в жалобе возражения являлись предметом рассмотрения судов и получили надлежащую оценку.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