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Проровский Михаил Сергеевич обратился в суд с заявлением о привлечении специалистов для обеспечения его деятельности и установлении оплаты их услуг за счёт имущества должника. Определением Арбитражного суда Ростовской области от 10.06.2021, оставленным без изменения постановлениями Пятнадцатого арбитражного апелляционного суда от 06.09.2021 и Арбитражного суда Северо-Кавказского округа от 23.11.2021,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17.12.2009 № 91 «О порядке погашения расходов по делу о банкротстве», исходили из того, что в условиях превышения лимита расходов на привлекаемых арбитражным управляющим лиц последние могут быть привлечены после одобрения арбитражным судом увеличения лимита расходов. Подобной санкции суда в рассматриваемом случае не было, заявление подано в суд уже после фактического привлечения арбитражным управляющим специалистов для охраны имущества и оказания юридической помощи и в отсутствие такой необходимости, в связи с чем суды не установили оснований для его удовлетворения. Выводы судов соответствуют нормам права, оснований для переоценки выводов судов по доводам жалобы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«Юггидромеханизация» Стороженко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