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Маевский Роман Александрович обратился в суд с заявлением о взыскании с Давыдова А.П. судебных расходов на оплату услуг представителя в размере 25 000 рублей. Определением Арбитражного суда города Москвы от 10.08.2021, оставленным без изменения постановлениями Девятого арбитражного апелляционного суда от 02.11.2021 и Арбитражного суда Московского округа от 21.01.2022, заявление удовлетворено. В кассационной жалобе, поданной в Верховный Суд Российской Федерации, заявитель просят отменить названные судебные акты и направить дело на новое рассмотрение в Арбитражный суд города Москвы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101, 106, 110 Арбитражного процессуального кодекса Российской Федерации, пунктами 10, 11 постановлении Пленума Верховного Суда РФ от 21.01.2016 № 1 «О некоторых вопросах применения законодательства о возмещении издержек, связанных с рассмотрением дела», признали требование о взыскании судебных расходов с заявителя, не в пользу которого принят судебный акт, обоснованным и подлежащим удовлетворению.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Давыдову Андрею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