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17.02.2021, оставленным без изменения постановлением Первого арбитражного апелляционного суда от 14.07.2021 и постановлением Арбитражного суда Волго-Вятского округа от 29.11.2021, в удовлетворении заявления отказано. В кассационной жалобе ФИО1 просит об отмене судебных актов, ссылаясь на неосновательное неустановление цели перечисления денежных средств.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возврат на счет должника денежных средств, что не исключило включения их конкурсную массу и независимо от цели их перечисления не причинило вреда кредиторам и не требует проверки перечисления на соответствие статье 61.2 Федерального закона от 26.10.2002 № 127-ФЗ «О несостоятельности (банкротстве)» и статье 10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"РосАвтоСтрой" (подробнее) ООО "РосАвтоСтрой" В ЛИЦЕ К\У БОРИСОВА С.А. (подробнее) Иные лица: ЗАО "Электрон-Сервис НН" (подробнее) ООО "Информсервис" (подробнее) ООО "Коминтек" (подробнее) ООО Милениум (подробнее) ООО "Снайпермедия" (подробнее) УФНС (подробнее) Федеральная служба по финансовому мониторингу (подробнее) ЦЕНТРАЛЬНЫЙ АППАРАТ ИФНС России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