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«Все Работает» (далее – Общество) обратилось в Арбитражный суд города Москвы с иском к индивидуальному предпринимателю ФИО1 (далее – Предприниматель) о взыскании 8 409 053 рублей 08 копеек задолженности, 1 100 062 рублей 93 копеек пени и возмещении судебных расходов. Решением Арбитражного суда города Москвы от 28.04.2021, оставленным без изменения постановлением Девятого арбитражного апелляционного суда от 08.07.2021 и постановлением Арбитражного суда Московского округа от 01.12.2021, с Предпринимателя в пользу Общества взыскано 8 409 053 рубля 08 копеек задолженности, 500 000 рублей пени, распределены судебные расходы; в остальной части иска отказано. В кассационной жалобе, поданной в Верховный Суд Российской Федерации, заявитель просит отменить состоявшиеся судебные,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на отсутствие у него задолженности перед Обществом, отмечая неправомерный расчет заявленных требований.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и установлено судами, Общество осуществляло функции управляющей организации в отношении многоквартирного дома (далее–МКД) № 30 по ул. Широкая на основании протокола № 1 общего собрания собственников помещений от 24.06.2017 и Распоряжения МЖИ от 28.02.2018 № 1910/РП. Предприниматель является собственником нежилых помещений 1.03, 1.04, 1.05, 1.06, 1.07, 2.02, 2.03, 2.04, 2.05, 2.06, 2.07, 2.08, 2.09, 2.10, 2.11 в названном МКД, что подтверждается выписками из Единого государственного реестра недвижимости. Ответчик частично производил оплату за коммунальные услуги и расходы на содержание общего имущества МКД, в результате чего в период с января 2018 года по сентябрь 2019 года образовалась задолженность, наличие которой послужило основанием для обращения Общества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210 , 249 , 290 , 309 , 310 , 333 779 , 781 Гражданского кодекса Российской Федерации, статьями 36 , 153 , 155 , 156 , 158 Жилищного кодекса Российской Федерации, разъяснениями, изложенными в постановлении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суды, установив факт оказания истцом услуг в спорный период, частично удовлетворили заявленные требования, исходя из того, что ответчик, как собственник помещений, обязан нести бремя содержания общего имущества многоквартирного дома соразмерно своей доле, путем оплаты предоставляемых услуг, при этом уменьшив размер неустойки.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"ВСЕ РАБОТАЕТ" (подробнее) Судьи дела: Чучунова Н.С. (судья) (подробнее) Судебная практика по: Уменьшение неустойки Судебная практика по применению нормы ст. 333 ГК РФ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