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07.05.2021, оставленным без изменения постановлением Третьего арбитражного апелляционного суда от 13.07.2021 и постановлением Арбитражного суда Восточно-Сибирского округа от 23.11.2021, процедура реализации имущества гражданина завершена без применения в отношении должника правил об освобождении от дальнейшего исполнения требований кредиторов. В кассационной жалобе ФИО1 просит об отмене судебных актов, ссылаясь на несоответствие выводов судов о недобросовестности должника при накоплении кредиторской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итогу исследования обстоятельств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Иная оценка должником своего поведения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Восточный экспресс банк (подробнее) Иные лица: ГЛАВНОЕ УПРАВЛЕНИЕ ФЕДЕРАЛЬНОЙ СЛУЖБЫ СУДЕБНЫХ ПРИСТАВОВ ПО КРАСНОЯРСКОМУ КРАЮ (подробнее) Железногорский городской суд (подробнее) Лустенко А.Н. (ф/у) (подробнее) ООО АйДи Коллект (подробнее) ООО Экспресс-кредит (подробнее) ООО "Экспресс-Кредит" (подробнее) ООО Югорское коллекторское агентство (подробнее) ПАО Сбербанк (подробнее) Судебный участок №146 в ЗАТО г. Железногорск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