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13.05.2021 завершена процедура реализации имущества должника с освобождением его от дальнейшего исполнения требований кредиторов. Постановлением Восемнадцатого арбитражного апелляционного суда от 30.07.2021, оставленным без изменения постановлением Арбитражного суда Уральского округа от 24.11.2021, определение от 13.05.2021 отменено в части освобождения должника от исполнения обязательств перед кредиторами; правила об освобождении ФИО1 от обязательств перед публичным акционерным обществом акционерный коммерческий банк «Челиндбанк» не применены. В кассационной жалобе ФИО1 просит об отмене судебных актов апелляционного и окружного судов, ссылаясь на несоответствие вывода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оценил поведение должника в ситуациях образования и погашения задолженности и признал его не создающим условия для применения правил пункта 3 статьи 213.28 Федерального закона от 26.10.2002 N 127-ФЗ «О несостоятельности (банкротстве)».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"Сбербанк России" Челябинское отделение 8597 (подробнее) ПАО Банк ЗЕНИТ (подробнее) ПАО РОСБАНК (подробнее) ПАО "ЧЕЛИНДБАНК" (подробнее) Иные лица: АССОЦИАЦИЯ "УРАЛО-СИБИРСКОЕ ОБЪЕДИНЕНИЕ АРБИТРАЖНЫХ УПРАВЛЯЮЩИХ"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