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12.04.2021, оставленным без изменения постановлением Пятого арбитражного апелляционного суда от 01.09.2021 и постановлением Арбитражного суда Дальневосточного округа от 25.11.2021, в удовлетворении заявления отказано. В кассационной жалобе действующий финансовый управляющий просит о пересмотре судебных актов, ссылаясь на неполное исследование обстоятельств спора, доказанность неразумности действий арбитражного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действия финансового управляющего по обжалованию судебного акта суда общей юрисдикции, которым утверждено мировое соглашение между должником и его супругой, и с учетом принятых по его жалобе судебных актов признали гипотетической связь между обжалованием и непопаданием в конкурсную массу имущества, переданного по мировому соглашению. В связи с неустановлением условий для взыскания убытков в удовлетворении заявления отказано в соответствии пунктом 4 статьи 20.4 Федерального закона «О несостоятельности (банкротстве)», статьями 15 , 1064 Гражданского кодекса Российской Федерации, пунктом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Дальневосточного округа (подробнее) Ассоциация СОАУ "Меркурий" (подробнее) ООО СК "Арсеналъ" (подробнее) СРО ассоциация "Дальневосточная межрегиональная арбитражных управляющих" (подробнее) Страховая компания "ТИТ" (подробнее) Управление Росреестра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