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марта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обратился в суд с ходатайством о завершении процедуры конкурсного производства. Определением Арбитражного суда города Москвы от 18.05.2021, оставленным без изменения постановлениями Девятого арбитражного апелляционного суда от 25.08.2021 и Арбитражного суда Московского округа от 23.12.2021, конкурсное производство в отношении должника завершено. Требования кредиторов, не удовлетворенные по причине недостаточности имущества должника, а также требования кредиторов, не признанные конкурсным управляющим, если кредитор не обращался в арбитражный суд или если такие требования признаны арбитражным судом необоснованными, признаны погашенными. В кассационной жалобе, поданной в Верховный Суд Российской Федерации, заявитель просит отменить названные судебные акты и направить дело на новое рассмотрение в арбитражный суд первой инстанции.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Завершая конкурсное производство, суды, руководствуясь статьями 124, 147, 149 Федерального закона от 26.10.2002 № 127-ФЗ «О несостоятельности (банкротстве)», пунктом 5 статьи 20 Федерального закона № 129-ФЗ Федерального закона от 08.08.2001 № 129-ФЗ «О государственной регистрации юридических лиц и индивидуальных предпринимателей», исходили из того, что мероприятия, направленные на поиск, выявление и реализацию имущества должника для формирования за счет этого имущества конкурсной массы, выполнены в полном объеме, доказательств наличия у должника имущества для погашения требований кредиторов и средств для финансирования процедуры банкротства не имеется, а право заявителя на судебную защиту не нарушено. Выводы судов соответствуют нормам права, оснований для переоценки этих выводов не имеется. Существенных нарушений норм материального и (или) норм процессуального права, которые бы повлияли на исход судебного разбирательства, судами не допущено. Содержание жалобы, по сути, направлено на переоценку представленных доказательств и установление иных обстоятельств по делу. Однако полномочиями по переоценке доказательств и разрешению вопросов факта Судебная коллегия по экономическим спорам Верховного Суда Российской Федерации не наделена.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конкурному управляющему обществом с ограниченной ответственностью «ПроектСтрой» ФИО1 в передаче её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 Суд: Верховный Суд РФ (подробнее) Истцы: ИФНС России №7 по г. Москве (подробнее) ООО " Партнер" (подробнее) ООО "ПроектСтрой" (подробнее) Ответчики: ООО "АлмазСтрой" (подробнее) Иные лица: Ассоциация ВАУ "Достояние" (подробнее) МИФНС России №46 по г. Москве (подробнее) Судьи дела: Корнелюк Е.С.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