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03.08.2021, оставленным без изменения постановлением Седьмого арбитражного апелляционного суда от 01.10.2021 и постановлением Арбитражного суда Западно-Сибирского округа от 15.12.2021, заявление удовлетворено. В кассационной жалобе Козлова Т.А. просит об отмене судебных актов, ссылаясь на добросовестное приобретение автомобиля,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должником в период подозрительности и наличия неисполненных обязательств сделки по отчуждению имущества за неравноценное встречное предоставление, в результате которой причинен вред кредиторам, что в силу пункта 1 статьи 61.2 Федерального закона от 26.10.2002 № 127-ФЗ «О несостоятельности (банкротстве)» создает условия для недействительности договора. Действия судов, которые заявитель считает процессуальными нарушениями, таковыми не являются и не попадают под основания для кассационного пересмотра судебных актов, как и вопросы доказывания и оценки доказательств, положенные в основу доводов жалобы.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Козловой Татьяне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