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12.04.2021, оставленным без изменения постановлением Десятого арбитражного апелляционного суда от 30.09.2021 и постановлением Арбитражного суда Московского округа от 28.12.2021, в удовлетворении заявления отказано. В кассационной жалобе Жиркин Д.А. просит об отмене судебных актов, ссылаясь на мнимость сделки и злоупотребление правами при ее совершении.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проверили обстоятельства совершения сделки по заявленным основаниям и установили отсутствие необходимых в силу законодательства о банкротстве условий недействительности. Обоснование недействительности общими нормами гражданского законодательства и обстоятельствами совершения должником иных сделок не относится к предмету рассматриваемого заявления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Жиркину Дмитрию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