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49 000 000 рублей основного долга, 29 099 989 рублей 92 копейки процентов, начисленных по договору займа за период с 31.03.2016 по 01.03.2018, 74 641 095 рублей 89 копеек процентов, начисленных по договору займа за период с 02.03.2018 по 17.03.2021, 9 517 676 рублей 89 копеек процентов за пользование чужими денежными средствами за период с 02.03.2018 по 17.03.2021. Определением Арбитражного суда города Москвы от 24.06.2021, оставленным без изменения постановлениями Девятого арбитражного апелляционного суда от 09.09.2021 и Арбитражного суда Московского округа от 30.11.2021,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рассмотрении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170, 199, 200 Гражданского кодекса Российской Федерации, статьями 19, 71, 100,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утверждённом Президиумом Верховного Суда Российской Федерации 29.01.2020, исходили из того, что перечисленные должнику денежные средства не использовались им в собственных предпринимательских целях и деятельности, открытый должнику расчётный счёт использовался в качестве транзитного в интересах аффилированных лиц, часть требований по процентам, начисленным по договору займа, заявлено с пропуском срока исковой давности. При таких условиях суды отказали заявителю во включении его требований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микрофинансовой компанией «Городская сберегательная касса» Алимовой Надежде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