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18.06.2021, оставленным без изменения постановлением Девятого арбитражного апелляционного суда от 27.09.2021 и постановлением Арбитражного суда Московского округа от 23.12.2021,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2016 год. Указанным решением обществу доначислен налог в сумме 9 457 444 рублей. Основанием для принятия решения послужил вывод налогового органа о неправомерном определении обществом налоговой базы в отношении объекта недвижимого имущества с кадастровым номером 77:01:0003050:105, исходя из стоимости этого объекта, указанной в Едином государственном реестре недвижимости без учета суммы, равной величине налога на добавленную стоимость (далее - НДС). Отказывая в удовлетворении требования, судебные инстанции, оценив представленные в материалы дела доказательства, руководствуясь положениями пункта 2 статьи 375, пунктом 15 статьи 378.2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3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Частной компании с ограниченной ответственностью «Гарденз Корпорейшн Б.В.»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