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14.03.2022 (согласно отметке почтового органа на конверте) обратился в Верховный Суд Российской Федерации с жалобой на определение судьи Верховного Суда Российской Федерации от 17.01.2022 № 305-ЭС21-25762, решение Арбитражного суда Московской области от 16.03.2021, постановление Десятого арбитражного апелляционного суда от 25.05.2021 и постановление Арбитражного суда Московского округа от 14.09.2021 по делу № А41-64874/2020,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Доводов, обосновывающих уважительность пропуска рассматриваемого срока, заявителем не приведено.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 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«ПКФ СТРОЙ-ИНС» о восстановлении пропущенного процессуального срока отказать. Жалобу возвратить заявителю.Судья Верховного Суда Российской Федерации Н.С. Чучунова Суд: Верховный Суд РФ (подробнее) Истцы: ООО "ПКФ СТРОЙ - ИНС" (подробнее) Ответчики: Министерство имущественных отношений Московской области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