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Настоящая жалоба на вынесенные судебные акты направлена 15.03.2022, то есть с пропуском двухмесячного срока подачи жалобы. К жалобе приложено ходатайство о восстановлении пропущенного срока, в котором заявитель ссылается на внутренние организационные проблемы общества (болезнь сотрудников в период с 24.01.2022 по 14.02.2022, увольнение представителя общества по собственному желанию), а также на позднее получение заверенных судом копий судебных актов. В силу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Лица, участвующие в деле, несут риск наступления последствий совершения или не совершения ими процессуальных действий (часть 2 статьи 9 АПК РФ ). Ненадлежащая организация деятельности юридического лица является риском самого юридического лица, и все неблагоприятные последствия такой ненадлежащей организации своей деятельности несет само юридическое лицо. Зная о результатах рассмотрения кассационной жалобы и имея намерение обжаловать принятые по настоящему делу судебные акты, заявитель имел возможность нанять иного представителя, ознакомиться с постановлением суда округа и обжаловать судебные акты в установленный процессуальным законодательством срок. При этом предусмотренный процессуальным законодательством срок для обращения с кассационной жалобой в Верховный Суд Российской Федерации включает, в том числе время на получение заверенных надлежащим образом копий судебных актов, время на подготовку и направление кассационной жалобы.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«Ковровский электромеханический завод»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Е.Е. Российской Федерации Суд: Верховный Суд РФ (подробнее) Истцы: АО "Ковровский электромеханический завод" (подробнее) Ответчики: ООО "АльянсКапитал"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