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17.06.2021, оставленным без изменения постановлением Четырнадцатого арбитражного апелляционного суда от 20.09.2021 и постановлением Арбитражного суда Северо-Западного округа от 09.12.2021, исковое требование удовлетворено. В кассационной жалобе, поданной в Верховный Суд Российской Федерации, управление просит отменить судебные акты, ссылаясь на существенное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обществом (хранитель) и управлением (поклажедатель) 08.08.2016 заключен государственный контракт на оказание услуг по хранению арестованных и изъятых в рамках исполнительных производств легковых автотранспортных средств на территории города Череповца для нужд управления. На основании указанного контракта транспортное средство, арестованное и изъятое в рамках возбужденных в отношении должника исполнительных производств, передано управлением обществу для ответственного хранения и помещено на принадлежащую хранителю специализированную стоянку. Транспортное средство находилось на стоянке с 24.03.2016 по 15.12.2017 включительно, что подтверждается журналом учета транспортных средств и управлением не оспаривается. Плата за ответственное хранение автомобиля на специализированной стоянке за период с 01.01.2017 по 15.12.2017 произведена не была, сумма задолженности за данную услугу составила 17 450 рублей (349 дней *50 рублей в сутки). Претензия о погашении задолженности оставлена управлением без удовлетворения, что послужило основанием для обращения общества с настоящим иском в арбитражный суд. Удовлетворяя исковое требование, суды трех инстанций, оценив представленные в материалы дела доказательства, руководствуясь положениями статей 309 , 310 , 886 , 889 , 896 Гражданского кодекса Российской Федерации, пришли к выводу о наличии оснований для оплаты хранения транспортного средства за счет бюджетных средств. Судебные инстанции исходили из доказанности обществом оказания услуг по хранению и возврату вверенной ему вещи по требованию поклажедателя, их стоимости и невозможности оплаты за счет средств должника. Вместе с тем суды указали на соответствие понесенных истцом судебных расходов на представителя критерию разумности. В кассационной жалобе управление, не оспаривая факта и стоимости оказания услуг, ссылается на отсутствие оснований для оплаты хранения за счет средств федерального бюджета, а также на несоразмерность заявленных обществом судебных расходов. Приведенные доводы сводятся к повторению позиции управления по спору, были предметом рассмотрения судов и получили надлежащую правовую оценку с учетом установленных обстоятельств дела. Несогласие заявителя жалобы с выводами судов не означает допущенной при рассмотрении дела судебной ошибки, не свидетельствует о существенных нарушениях норм материального и процессуального права, повлиявших на исход дела, и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Вологодской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"Бизнес Экспресс" (подробнее) Ответчики: УФССП по Вологодской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