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07.06.2021, оставленным без изменения постановлением Двенадцатого арбитражного апелляционного суда от 23.08.2021 и постановлением Арбитражного суда Поволжского округа от 17.11.2021,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2 просит отменить указанные судебные акты и принять по делу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истребованного дела и доводов заявителя не установлено. Как следует из материалов дела и установлено судами, общество (генподрядчик) и компания (субподрядчик) 30.12.2019 заключили договор № 30/12/19 (далее – договор), по условиям которого субподрядчик обязался выполнить собственными силами и/или привлеченными силами и средствами на объекте «Здание производственного цеха № 3 с АБК», расположенном по адресу: Волгоградская область, рабочий поселок Средняя Ахтуба, ул. Промышленная, д. 12, следующие виды работ: проектирование разделов ЭО - электроосвещение внутреннее, ЭМ - электроснабжение силовое, АК - автоматизация комплексная, ЭС - электроснабжение наружное, ЭН - электроосвещение наружное, монтаж систем ЭО, ЭМ, АК. Пунктом 5.1 договора предусмотрено, что субподрядчик обязуется выполнить и сдать работы генподрядчику в срок, не позднее 10.02.2020. Платежными поручениями от 15.01.2020 № 44, от 13.02.2020 № 239 общество перечислило компании аванс на выполнение работ и закупку материалов по договору на общую сумму 8 000 000 руб. Вступившими в законную силу судебными актами по делу № А12-16992/2020 установлено, что работы по договору выполнены компанией с нарушением срока (согласно акту о приемке выполненных работ и справке о стоимости выполненных работ и затрат от 02.06.2020 № 1 на сумму 11 657 880 руб. 96 коп.) и приняты компанией без разногласий. На основании пункта 9.12 договора общество просит взыскать с компании проценты за пользование коммерческим кредитом, начисленные в размере 0,5% от суммы выданного аванса за каждый день пользования со дня, следующего за днем его получения, по день фактического исполнения субподрядчиком обязательств или возврата всей суммы аванса. 3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истолковав условия заключенного сторонами договора в соответствии с положениями статьи 431 Гражданского кодекса Российской Федерации, суды первой и апелляционной инстанций пришли к выводу о том, что из содержания пункта 9.12 следует, что начисление предусмотренной названным пунктом платы за пользование коммерческим кредитом обусловлено нарушением сроков исполнения обязательства и поставлено в прямую зависимость от фактического исполнения субподрядчиком обязательств или возврата всей суммы аванса, включение такого условия в договор позволяет квалифицировать его применительно к статье 170 Гражданского кодекса Российской Федерации как прикрывающее соглашение о неустойке, предусмотренное статьей 330 Гражданского кодекса Российской Федерации, и согласованное сторонами в пункте 9.11 договора. Отметив, что обоснованность требования общества о взыскании неустойки на основании пункта 9.11 договора проверена судом при рассмотрении дела № А12-16992/2020, исходя из того, что одновременное применение ответственности в виде неустойки, установленной пунктом 9.1 договора за нарушение сроков выполнения работ, и ответственности за неисполнение обязательств в согласованные договором сроки, предусмотренной пунктом 9.12 договора, формально поименованной платой за пользование коммерческим кредитом, в данном случае представляет собой двойную меру ответственности за нарушение одного и того же обязательства, а применение двойной меры ответственности за одно и то же нарушение противоречит принципам гражданского законодательства, руководствуясь статьями 421, 809, 823 Гражданского кодекса Российской Федерации, разъяснениями, изложенными в постановлении Пленума Верховного Суда Российской Федерации и Пленума Высшего Арбитражного Суда Российской Федерации от 08.10.1998 № 13/14 «О практике применения положений Гражданского кодекса Российской Федерации о процентах за пользование чужими денежными средствами»,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не установили оснований для взыскания с компании процентов за пользование коммерческим кредитом. Поддерживая выводы судов первой и апелляционной инстанций, суд округа, принимая во внимание обстоятельства, установленные при рассмотрении дела А12-16992/2020, отметил, что денежные средства в качестве авансового платежа были перечислены обществом для приобретения 4 компанией материалов с целью выполнения работ по договору, которые в свою очередь не были оплачены обществом, кроме того, часть авансового платежа перечислена последним за пределами срока выполнения работ. Доводы заявителя являлись предметом рассмотрения судебных инстанций, получили правовую оценку и по существу направлены на иную оценку доказательств и фактических обстоятельств дела. Изложенные в кассационной жалобе доводы не опровергают выводы судов и не подтверждают существенных нарушений судами норм материального и процессуального права, повлиявших на исход дела, и не могут служить достаточными основаниями для отмены обжалуемых судебных актов, принятых исходя из конкретных обстоятельств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«Арт-Холдинг»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