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«ДХЛ Глобал Форвардинг» обратилось в Арбитражный суд города Москвы с иском о взыскании с акционерного общества «Мерседес-Бенц РУС» 5 888 000 рублей уплаченных административных штрафов, а также 2 143 676 рублей неустойки. Решением Арбитражного суда города Москвы от 20.05.2021 в удовлетворении иска отказано. Постановлением Девятого арбитражного апелляционного суда от 28.07.2021 решение суда первой инстанции оставлено без изменения. Арбитражный суд Московского округа постановлением от 25.11.2021 указанные судебные акты оставил без изменения. Общество с ограниченной ответственностью «ДХЛ Глобал Форвардинг»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что истец, являясь профессиональным участником рынка услуг таможенного представительства, не совершил действий по проверке сертификата соответствия до проведения декларирования товара, привлечен к административной ответственности за ненадлежащее исполнение своих обязательств, установленных таможенным законодательством Российской Федерации, руководствуясь положениями статей 401, 935, 936, 1064 Гражданского кодекса Российской Федерации, суды пришли к выводу о недоказанности истцом наличия совокупности обстоятельств, необходимой для привлечения ответчика к гражданско-правовой ответственности в виде возмещения убытков.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«ДХЛ Глобал Форвардинг»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