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28.11.2019 в удовлетворении заявления отказано. Постановлением суда апелляционной инстанции от 27.02.2020, оставленным без изменения постановлением суда округа от 19.06.2020, названное определение отменено, в реестр включено требование в размере 34 171 963 руб. долга и 141 335 882,35 руб. неустойки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 и отменяя определение от 28.11.2019, суд апелляционной инстанции руководствовался положениями статей 16, 71, 100, 213.9 Федерального закона от 26.10.2002 № 127-ФЗ «О несостоятельности (банкротстве)» и исходил из доказанности наличия и размера требования кредитора, вытекающего из заемных отношений. С данным выводом впоследствии согласился суд округа. Доводы заявителя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ООО МКК "Автополе Финанс" (подробнее) Иные лица: АО "ЮниКредит Банк" (подробнее) Межрайонная инспекция Федеральной налоговой службы №24 по Санкт-Петербургу (подробнее) ОБЩЕСТВО С ОГРАНИЧЕННОЙ ОТВЕТСТВЕННОСТЬЮ ФИНАНСОВО-ПРОМЫШЛЕННАЯ ГРУППА "РОССТРО" (подробнее) ООО "Автополе Финанс" (подробнее) ООО " ЛИМАН ТРЕЙД" (подробнее) ПА ЛЕНЭНЕРГО (подробнее) ПАО "Банк Санкт-Петербург"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