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22.04.2021, оставленным без изменения постановлением Одиннадцатого арбитражного апелляционного суда от 10.08.2021 и постановлением Арбитражного суда Поволжского округа от 23.11.2021, иск к обществу «Альянс-К» удовлетворен, в удовлетворении требования к обществу «ПСГ» отказано. В кассационной жалобе общество «ПСГ» просит об отмене судебных актов, ссылаясь на отсутствие вины водителя в повреждении груза, ненадлежащие доказательства размера убытков и нарушения в назначении экспертизы.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оводами жалобы не усматривается. Вина общества «Альянс-К» как перевозчика в повреждении груза презюмируется, поэтому убытки возложены на общество в соответствии со статьями 15, 393, 401, 796, 797 Гражданского кодекса Российской Федерации и их судебным толкованием. Непривлечение водителя перевозчика к административной ответственности не означает освобождения перевозчика от обязанности возмещения убытков по гражданско-правовому обязательству (вследствие несохранной перевозки). Определенный в целях выплаты страхового возмещения в связи с повреждением груза размер убытков не может быть оценен в качестве недостоверного. Возникновение убытков в связи с состоянием дорожного полотна доказывается перевозчиком как участником дорожно-транспортного происшествия в самостоятельном процессе с иным составом участников.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«ПСГ»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