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разрешении разногласий, возникших у общества с конкурсным управляющим должником, и включении требований общества в реестр передачи жилых помещений и установлении суммы, уплаченной по договорам долевого участия в строительстве. Определением Арбитражного суда города Санкт-Петербурга и Ленинградской области от 08.06.2021, оставленным без изменения постановлением Тринадцатого арбитражного апелляционного суда от 06.09.2021 и постановлением Арбитражного суда Северо-Западного округа от 30.11.2021,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отсутствия причин для удовлетворения требований общества по заявленным основаниям, указав на отсутствие надлежащих доказательств реальности отношений, положенных в основу требований общества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«Нева Тафт»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