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разрешении разногласий, возникших у общества с конкурсным управляющим должником, и включении требований общества в реестр передачи жилых помещений и установлении суммы, уплаченной по договорам долевого участия в строительстве. Определением Арбитражного суда города Санкт-Петербурга и Ленинградской области от 08.06.2021, оставленным без изменения постановлением Тринадцатого арбитражного апелляционного суда от 07.09.2021 и постановлением Арбитражного суда Северо-Западного округа от 30.11.2021,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отсутствия причин для удовлетворения требований общества по заявленным основаниям, указав на отсутствие надлежащих доказательств реальности отношений, положенных в основу требований общества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«Гарант ФинКом»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