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Чобану Лилиана Иоана Арбитражным судом Московской области рассмотрено заявление финансового управляющего Бедуленко Александра Иосифовича о разрешении разногласий относительно распределения денежных средств, поступивших в конкурсную массу от реализации предмета залога. Определением Арбитражного суда Московской области от 28.05.2021 разногласия разрешены; признано обоснованным произведенное финансовым управляющим распределение денежных средств в сумме 30 155 555 рублей, полученных от реализации имущества должника, находящегося в залоге у публичного акционерного общества «Сбербанк России». Постановлением Десятого арбитражного апелляционного суда от 09.09.2021 определение суда первой инстанции оставлено без изменения. Арбитражный суд Московского округа постановлением от 14.12.2021 указанные судебные акты оставил без изменения. Чобану Марина Александровна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статьями 213.26, 213.27 Федерального закона от 26.10.2002 № 127-ФЗ «О несостоятельности (банкротстве)» и пришли к выводу о том, что поскольку супруга должника является его созаемщиком и созалогодателем, она не вправе претендовать на получение вырученной от реализации имущества суммы, соответствующей ее доле в общем имуществе, приоритетно перед кредитором-залогодержателем.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Чобану Марине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