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Смагина Виталия Ивановича в Арбитражный суд города Москвы обратился должник с заявлением о признании ненадлежащим исполнение обязанностей финансового управляющего и отстранении Ратникова Евгения Николаевича от исполнения обязанностей финансового управляющего имуществом должника. Определением Арбитражного суда города Москвы от 17.05.2021 в удовлетворении заявления отказано. Постановлением Девятого арбитражного апелляционного суда от 27.07.2021 определение суда первой инстанции оставлено без изменения. Арбитражный суд Московского округа постановлением от 16.11.2021 указанные судебные акты оставил без изменения. Смагин Виталий Иванович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должника, суды руководствовались положениями статей 20.2, 20.3, 213.9 Федерального закона от 26.10.2002 № 127-ФЗ «О несостоятельности (банкротстве)» и исходили из отсутствия достаточных доказательств наличия оснований для отстранения Ратникова Е.Н. от исполнения обязанностей финансового управляющего имуществом должника, поскольку несогласие должника с позицией управляющего, а также вынесенными судебными актами судов иностранного государства не является основанием для признания действий финансового управляющего незаконными и (или) недобросовестными. Доводы заявителя жалобы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Смагину Виталию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