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ходатайствуя о восстановлении пропущенного срока её подачи. Рассмотрев ходатайство о восстановлении процессуального срока, суд находит его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срок подачи кассационной жалобы определение Арбитражного суда Приморского края от 19.03.2020, постановление Пятого арбитражного апелляционного суда от 16.06.2020 и постановление Арбитражного суда Дальневосточного округа от 21.08.2020 по делу № А51-2386/2019 восстановить. Судья Е.С. Корнелюк Суд: Верховный Суд РФ (подробнее) Истцы: Хо Сергей (подробнее) Ответчики: ИП Стоценко Светлана Анатольевна (подробнее) Иные лица: Администрация города Владивостока (подробнее) ИП Горшенин Алексей Юрьевич (подробнее) ИФНС РОССИИ ПО ФРУНЗЕНСКОМУ РАЙОНУ Г. ВЛАДИВОСТОКА (подробнее) ПАО "Дальневосточный банк" (подробнее) ПАО Дальневосточный филиал "Промсвязьбанк" (подробнее) Управление муниципальной собственности г. Владивостока Администрации г. Владивостока (подробнее) Управление муниципальной? собственности г. Владивостока Администрации г. Владивостока (подробнее) Управление ФССП по ПК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