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Смагина Виталия Ивановича в Арбитражный суд города Москвы обратились компания Масола Консалтинг Инк (Masola Consulting Ink) и Брода М.А. с требованием о включении 2 298 330, 75 фунтов стерлингов, 171 898, 86 долларов США по договорам займа, 60 000 рублей расходов по уплате государственной пошлины в реестр требований кредиторов должника. Определением Арбитражного суда города Москвы от 21.05.2021 признаны обоснованными и включены в третью очередь реестра требований кредиторов должника требование Брода М.А. в размере 7 321 570 рублей неустойки с учетом пункта 3 статьи 137 Федерального закона от 26.10.2002 № 127-ФЗ «О несостоятельности (банкротстве)» и требование Масола Консалтинг Инк в размере 58 246 915 рублей 12 копеек основного долга, 41 158 041 рубля 90 копеек процентов за пользование займом, 225 375 рублей расходов за подготовку заключения, 60 000 рублей расходов по уплате государственной пошлины, 107 059 438 рублей 98 копеек неустойки с учетом 2 пункта 3 статьи 137 Федерального закона «О несостоятельности (банкротстве)». Постановлением Девятого арбитражного апелляционного суда от 03.08.20212 определение суда первой инстанции оставлено без изменения. Арбитражный суд Московского округа постановлением от 08.12.2021 указанные судебные акты оставил без изменения. Смагин Виталий Иванович обратился в Судебную коллегию Верховного Суда Российской Федерации с кассационной жалобой на принятые по спору судебные акты в части включения требования кредитора Масола Консалтинг Инк в реестр требований кредиторов,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Признавая требование кредитора Масола Консалтинг Инк обоснованным и подлежащим включению в реестр требований кредиторов должника, суды руководствовались положениями статей 71, 100, 134, 213.24 Федерального закона от 26.10.2002 № 127-ФЗ «О несостоятельности (банкротстве)» и с учетом вступивших в законную силу судебных актов о взыскании задолженности исходили из наличия у должника обязательств перед кредитором, основанных на договорах займа, и отсутствия доказательств погашения задолженности по договорам займа, не усмотрев оснований для снижения размера неустойки в отсутствие доказательств несоразмерности ее размера последствиям нарушения обязательства. Несогласие заявителя кассационной жалобы с произведенной судами оценкой представленных доказательств и фактических обстоятельств спора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3 дела, и не является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Смагину Виталию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