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28.06.2021, оставленным без изменения постановлением Девятого арбитражного апелляционного суда от 10.09.2021 и постановлением Арбитражного суда Московского округа 2 от 01.12.2021,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общество, ссылаясь на нарушение судами норм материального права, просит отменить указанные судебные акты и направить дело на новое рассмотрение в Арбитражный суд города Москвы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в том числе заключение судебной экспертизы, истолковав условия заключенного сторонами договора в соответствии с положениями статьи 431 Гражданского кодекса Российской Федерации, установив факт надлежащего исполнения компанией обязательств по оказанию услуг и извлечения обществом выгоды от оказанных услуг, отсутствие у общества правовых оснований для одностороннего отказа от исполнения обязательств по договору, а также доказательств оплаты последним оказанных услуг в полном объеме, руководствуясь статьями 309, 310, 395, 450.1, 453, 779, 781, 782 Гражданского кодекса Российской Федерации, суды первой и апелляционной инстанций признали обоснованными первоначальные исковые требования, отказав в удовлетворении встречного иска. Суд округа поддержал выводы судов первой и апелляционной инстанций, не установив нарушений судами норм процессуального права. Доводы общества о несогласии с выводами судов и заключением судебной экспертизы свидетельствуют не о нарушениях судами норм материального и процессуального права, повлиявших на исход дела, а о несогласии заявителя с установленными по делу фактическими обстоятельствами, были проверены судами и признаны необоснованными, направлены на переоценку установленных по делу обстоятельств, что не входит в компетенцию Верховного Суда Российской Федерации. Поскольку существенных нарушений судами норм материального права и (или) норм процессуального права, повлиявших на исход дела, доводы кассационной жалобы не подтверждают, оснований для передачи жалобы для рассмотрения в судебном заседании Судебной коллегии Верховного Суда Российской Федерации не имеется. 3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«Торговый дом Локотех»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