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Рязанской области от 19.04.2021, оставленным без изменения постановлением Двадцатого арбитражного апелляционного суда от 21.07.2021, в иске отказано. 2 Постановлением Арбитражного суда Центрального округа от 22.11.2021 указанные судебные акты оставлены без изменения. Учреждение просит обжалуемые судебные акты отменить, считая их незаконными и необоснованными.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Оценив представленные доказательства, руководствуясь положениями статей 454, 470, 476 Гражданского кодекса Российской Федерации, статьи 34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суды в иске отказали, признав, что заявленный дефект является эксплуатационным и не является гарантийным случаем. Доводы жалобы были предметом исследования судов и получили исчерпывающую правовую оценку в обжалуемых судебных актах,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2916, 2918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