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15.06.2021, оставленным без изменения постановлением Пятого арбитражного апелляционного суда от 20.08.2021, в удовлетворении требования отказано. 2 Постановлением Арбитражного суда Дальневосточного округа от 26.11.2021 указанные судебные акты оставлены без изменения. Общество просит обжалуемые судебные акты отменить, ссылаясь на допущенные, по его мнению, существенные нарушения норм материального и процессуального права. При изучении доводов жалобы и принятых по делу судебных актов оснований для удовлетворения жалобы не установлено. Частью 1 статьи 9.4 Кодекса Российской Федерации об административных правонарушениях установлена ответственность за нарушение требований технических регламентов, проектной документации,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проектировании, строительстве, реконструкции или капитальном ремонте объектов капитального строительства, в том числе при применении строительных материалов (изделий). Оценив представленные доказательства, руководствуясь положениями статей 1, 10, 52 Градостроительного кодекса Российской Федерации, суды пришли к выводу о наличии в действиях общества состава административного правонарушения, ответственность за совершение которого предусмотрена частью 1 статьи 9.4 Кодекса Российской Федерации об административных правонарушениях, установив, что общество, являясь застройщиком объекта капитального строительства и обязанное осуществлять контроль за строительными работами, не обеспечило соблюдение обязательных требований при производстве работ в охранной зоне линии электропередач. Вина общества состоит в том, что им не были приняты все необходимые и достаточные меры для надлежащего исполнения обязательных требований при строительстве объекта капитального строительства. 3 Судами проверены процедура и срок давности привлечения к административной ответственности, наказание в виде штрафа назначено в пределах санкции нормы. Оснований для применения в рассматриваемом случае положений части 1 статьи 4.1.1 Кодекса Российской Федерации об административных правонарушениях и замены назначенного заявителю административного штрафа на предупреждение не выявлено. Доводы жалобы были предметом исследования судов и получили исчерпывающую правовую оценку с учетом отсутствия совокупности обстоятельств, необходимых для замены штрафа на предупреждение, не согласиться с которыми по доводам жалобы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