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10.06.2021, оставленным без изменения постановлением Пятнадцатого арбитражного апелляционного суда от 09.09.2021, иск удовлетворен. Постановлением Арбитражного суда Северо-Кавказского округа от 15.12.2021 указанные судебные акты оставлены без изменения. 2 Общество просит обжалуемые судебные акты отменить, считая их незаконными и необоснованными, направить дело на новое рассмотрение в суд первой инстанции.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702, 715, 740, 753 Гражданского кодекса Российской Федерации, суды удовлетворили иск, установив факт частичного выполнения работ по договору и наличия у общества неисполненного обязательства по их оплате. Доводы жалобы относительно наличия недостатков работ направлены на переоценку доказательств и установление иных фактических обстоятельств дела, в связи с чем не могут служить основанием для передачи жалобы на рассмотрение Судебной коллегии Верховного Суда Российской Федерации. Существенных нарушений норм материального и (или) процессуального права,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